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163ED" w14:textId="77777777" w:rsidR="00BC778F" w:rsidRDefault="00046FFB" w:rsidP="00BC778F">
      <w:pPr>
        <w:pStyle w:val="Sinespaciado"/>
      </w:pPr>
      <w:r w:rsidRPr="00046FFB">
        <w:t xml:space="preserve">APENDICE C:  </w:t>
      </w:r>
      <w:r w:rsidR="00725CAE">
        <w:t>Artículos científicos para la inclusión del enfoque OSIGD</w:t>
      </w:r>
      <w:bookmarkStart w:id="0" w:name="_Toc160382912"/>
      <w:bookmarkStart w:id="1" w:name="_Toc160383314"/>
      <w:bookmarkStart w:id="2" w:name="_Toc160383540"/>
    </w:p>
    <w:p w14:paraId="644D4C2B" w14:textId="0F536C18" w:rsidR="00046FFB" w:rsidRPr="00046FFB" w:rsidRDefault="00046FFB" w:rsidP="00BC778F">
      <w:pPr>
        <w:pStyle w:val="Sinespaciado"/>
        <w:rPr>
          <w:bCs/>
        </w:rPr>
      </w:pPr>
      <w:r w:rsidRPr="00046FFB">
        <w:t>Tabla 1.</w:t>
      </w:r>
      <w:bookmarkEnd w:id="0"/>
      <w:bookmarkEnd w:id="1"/>
      <w:bookmarkEnd w:id="2"/>
      <w:r w:rsidRPr="00046FFB">
        <w:t xml:space="preserve"> </w:t>
      </w:r>
      <w:bookmarkStart w:id="3" w:name="_Toc160382913"/>
      <w:bookmarkStart w:id="4" w:name="_Toc160383315"/>
      <w:bookmarkStart w:id="5" w:name="_Toc160383541"/>
      <w:r w:rsidRPr="00046FFB">
        <w:t>Artículos científicos para la inclusión del enfoque OSIGD</w:t>
      </w:r>
      <w:bookmarkEnd w:id="3"/>
      <w:bookmarkEnd w:id="4"/>
      <w:bookmarkEnd w:id="5"/>
    </w:p>
    <w:tbl>
      <w:tblPr>
        <w:tblStyle w:val="Tablaconcuadrcula"/>
        <w:tblpPr w:leftFromText="141" w:rightFromText="141" w:vertAnchor="page" w:horzAnchor="margin" w:tblpXSpec="center" w:tblpY="2491"/>
        <w:tblW w:w="14138" w:type="dxa"/>
        <w:tblLook w:val="04A0" w:firstRow="1" w:lastRow="0" w:firstColumn="1" w:lastColumn="0" w:noHBand="0" w:noVBand="1"/>
      </w:tblPr>
      <w:tblGrid>
        <w:gridCol w:w="3539"/>
        <w:gridCol w:w="10599"/>
      </w:tblGrid>
      <w:tr w:rsidR="00046FFB" w:rsidRPr="00BC778F" w14:paraId="03E68A8D" w14:textId="77777777" w:rsidTr="00F302C6">
        <w:trPr>
          <w:trHeight w:val="249"/>
          <w:tblHeader/>
        </w:trPr>
        <w:tc>
          <w:tcPr>
            <w:tcW w:w="3539" w:type="dxa"/>
          </w:tcPr>
          <w:p w14:paraId="046FF686" w14:textId="77777777" w:rsidR="00046FFB" w:rsidRPr="00BC778F" w:rsidRDefault="00046FFB" w:rsidP="00BC778F">
            <w:pPr>
              <w:spacing w:line="240" w:lineRule="auto"/>
              <w:ind w:firstLine="0"/>
              <w:jc w:val="center"/>
              <w:rPr>
                <w:rFonts w:ascii="Segoe UI" w:hAnsi="Segoe UI" w:cs="Segoe UI"/>
                <w:sz w:val="20"/>
              </w:rPr>
            </w:pPr>
            <w:r w:rsidRPr="00BC778F">
              <w:rPr>
                <w:rFonts w:ascii="Segoe UI" w:hAnsi="Segoe UI" w:cs="Segoe UI"/>
                <w:sz w:val="20"/>
              </w:rPr>
              <w:t>Nombre del artículo</w:t>
            </w:r>
          </w:p>
        </w:tc>
        <w:tc>
          <w:tcPr>
            <w:tcW w:w="10599" w:type="dxa"/>
          </w:tcPr>
          <w:p w14:paraId="5651318B" w14:textId="77777777" w:rsidR="00046FFB" w:rsidRPr="00BC778F" w:rsidRDefault="00046FFB" w:rsidP="00BC778F">
            <w:pPr>
              <w:spacing w:line="240" w:lineRule="auto"/>
              <w:ind w:firstLine="0"/>
              <w:jc w:val="center"/>
              <w:rPr>
                <w:rFonts w:ascii="Segoe UI" w:hAnsi="Segoe UI" w:cs="Segoe UI"/>
                <w:sz w:val="20"/>
              </w:rPr>
            </w:pPr>
            <w:r w:rsidRPr="00BC778F">
              <w:rPr>
                <w:rFonts w:ascii="Segoe UI" w:hAnsi="Segoe UI" w:cs="Segoe UI"/>
                <w:sz w:val="20"/>
              </w:rPr>
              <w:t>Aspecto relevante</w:t>
            </w:r>
          </w:p>
        </w:tc>
      </w:tr>
      <w:tr w:rsidR="00046FFB" w:rsidRPr="00BC778F" w14:paraId="476E6D71" w14:textId="77777777" w:rsidTr="00F302C6">
        <w:trPr>
          <w:trHeight w:val="1560"/>
        </w:trPr>
        <w:tc>
          <w:tcPr>
            <w:tcW w:w="3539" w:type="dxa"/>
          </w:tcPr>
          <w:p w14:paraId="3E5DE9A9" w14:textId="309D8504" w:rsidR="00046FFB" w:rsidRPr="00BC778F" w:rsidRDefault="00046FFB" w:rsidP="00BC778F">
            <w:pPr>
              <w:spacing w:line="240" w:lineRule="auto"/>
              <w:ind w:firstLine="0"/>
              <w:rPr>
                <w:rFonts w:ascii="Segoe UI" w:hAnsi="Segoe UI" w:cs="Segoe UI"/>
                <w:sz w:val="20"/>
              </w:rPr>
            </w:pPr>
            <w:r w:rsidRPr="00BC778F">
              <w:rPr>
                <w:rFonts w:ascii="Segoe UI" w:hAnsi="Segoe UI" w:cs="Segoe UI"/>
                <w:sz w:val="20"/>
              </w:rPr>
              <w:t>La cooperación internacional para el desarrollo y la protección de los derechos humanos de las personas LGTBI: una mirada desde la Agenda 2030</w:t>
            </w:r>
          </w:p>
        </w:tc>
        <w:tc>
          <w:tcPr>
            <w:tcW w:w="10599" w:type="dxa"/>
          </w:tcPr>
          <w:p w14:paraId="33D9D934" w14:textId="77777777" w:rsidR="00046FFB" w:rsidRPr="00BC778F" w:rsidRDefault="00046FFB" w:rsidP="00BC778F">
            <w:pPr>
              <w:spacing w:line="240" w:lineRule="auto"/>
              <w:ind w:firstLine="0"/>
              <w:rPr>
                <w:rFonts w:ascii="Segoe UI" w:hAnsi="Segoe UI" w:cs="Segoe UI"/>
                <w:sz w:val="20"/>
              </w:rPr>
            </w:pPr>
            <w:r w:rsidRPr="00BC778F">
              <w:rPr>
                <w:rFonts w:ascii="Segoe UI" w:hAnsi="Segoe UI" w:cs="Segoe UI"/>
                <w:sz w:val="20"/>
              </w:rPr>
              <w:t>Los Objetivos de Desarrollo Sostenible (ODS) brindan nuevas bases para una interrelación más fuerte entre las agendas de cooperación internacional y de desarrollo y la protección y promoción de los derechos humanos de las personas lesbianas, gais, trans, bisexuales e intersexuales (LGTBI). El compromiso de la Agenda 2030 de no dejar a nadie atrás proporciona un mandato claro para todos los países y actores públicos,</w:t>
            </w:r>
            <w:r w:rsidRPr="00BC778F">
              <w:rPr>
                <w:rFonts w:ascii="Segoe UI" w:hAnsi="Segoe UI" w:cs="Segoe UI"/>
                <w:sz w:val="20"/>
                <w:shd w:val="clear" w:color="auto" w:fill="F3F3F3"/>
              </w:rPr>
              <w:t xml:space="preserve"> i</w:t>
            </w:r>
            <w:r w:rsidRPr="00BC778F">
              <w:rPr>
                <w:rFonts w:ascii="Segoe UI" w:hAnsi="Segoe UI" w:cs="Segoe UI"/>
                <w:sz w:val="20"/>
              </w:rPr>
              <w:t>ncluidas las agencias de desarrollo, de poner la igualdad, la inclusión y la no discriminación en el centro de las políticas de cooperación internacional, en el marco de un enfoque basado en derechos.</w:t>
            </w:r>
          </w:p>
        </w:tc>
      </w:tr>
      <w:tr w:rsidR="00046FFB" w:rsidRPr="00BC778F" w14:paraId="4258D4B9" w14:textId="77777777" w:rsidTr="00F302C6">
        <w:trPr>
          <w:trHeight w:val="1825"/>
        </w:trPr>
        <w:tc>
          <w:tcPr>
            <w:tcW w:w="3539" w:type="dxa"/>
          </w:tcPr>
          <w:p w14:paraId="726961D0" w14:textId="1F714420" w:rsidR="00046FFB" w:rsidRPr="00BC778F" w:rsidRDefault="00046FFB" w:rsidP="00BC778F">
            <w:pPr>
              <w:spacing w:line="240" w:lineRule="auto"/>
              <w:ind w:firstLine="0"/>
              <w:rPr>
                <w:rFonts w:ascii="Segoe UI" w:hAnsi="Segoe UI" w:cs="Segoe UI"/>
                <w:sz w:val="20"/>
              </w:rPr>
            </w:pPr>
            <w:r w:rsidRPr="00BC778F">
              <w:rPr>
                <w:rFonts w:ascii="Segoe UI" w:hAnsi="Segoe UI" w:cs="Segoe UI"/>
                <w:sz w:val="20"/>
              </w:rPr>
              <w:t>Lineamientos para la inclusión del enfoque de orientaciones sexuales e identidades de género diversas (OSIGD) en las políticas orientadas a mejorar la relación Estado-ciudadanía</w:t>
            </w:r>
            <w:r w:rsidR="00672A50">
              <w:rPr>
                <w:rFonts w:ascii="Segoe UI" w:hAnsi="Segoe UI" w:cs="Segoe UI"/>
                <w:sz w:val="20"/>
              </w:rPr>
              <w:t xml:space="preserve"> </w:t>
            </w:r>
            <w:r w:rsidR="00BD2706">
              <w:rPr>
                <w:rFonts w:ascii="Segoe UI" w:hAnsi="Segoe UI" w:cs="Segoe UI"/>
                <w:sz w:val="20"/>
              </w:rPr>
              <w:t>(2022)</w:t>
            </w:r>
          </w:p>
        </w:tc>
        <w:tc>
          <w:tcPr>
            <w:tcW w:w="10599" w:type="dxa"/>
          </w:tcPr>
          <w:p w14:paraId="065945CC" w14:textId="77777777" w:rsidR="00F302C6" w:rsidRDefault="002F3C0D" w:rsidP="00BC778F">
            <w:pPr>
              <w:spacing w:line="240" w:lineRule="auto"/>
              <w:ind w:firstLine="0"/>
              <w:rPr>
                <w:rFonts w:ascii="Segoe UI" w:hAnsi="Segoe UI" w:cs="Segoe UI"/>
                <w:sz w:val="20"/>
              </w:rPr>
            </w:pPr>
            <w:r>
              <w:rPr>
                <w:rFonts w:ascii="Segoe UI" w:hAnsi="Segoe UI" w:cs="Segoe UI"/>
                <w:sz w:val="20"/>
              </w:rPr>
              <w:t>U</w:t>
            </w:r>
            <w:r w:rsidRPr="002F3C0D">
              <w:rPr>
                <w:rFonts w:ascii="Segoe UI" w:hAnsi="Segoe UI" w:cs="Segoe UI"/>
                <w:sz w:val="20"/>
              </w:rPr>
              <w:t>na de las tareas del Departamento Administrativo de la Función Pública</w:t>
            </w:r>
            <w:r>
              <w:rPr>
                <w:rFonts w:ascii="Segoe UI" w:hAnsi="Segoe UI" w:cs="Segoe UI"/>
                <w:sz w:val="20"/>
              </w:rPr>
              <w:t xml:space="preserve">, es </w:t>
            </w:r>
            <w:r w:rsidRPr="002F3C0D">
              <w:rPr>
                <w:rFonts w:ascii="Segoe UI" w:hAnsi="Segoe UI" w:cs="Segoe UI"/>
                <w:sz w:val="20"/>
              </w:rPr>
              <w:t>acercar el Estado a todas las personas en condiciones de igualdad y no discriminación</w:t>
            </w:r>
            <w:r>
              <w:rPr>
                <w:rFonts w:ascii="Segoe UI" w:hAnsi="Segoe UI" w:cs="Segoe UI"/>
                <w:sz w:val="20"/>
              </w:rPr>
              <w:t>. E</w:t>
            </w:r>
            <w:r w:rsidRPr="002F3C0D">
              <w:rPr>
                <w:rFonts w:ascii="Segoe UI" w:hAnsi="Segoe UI" w:cs="Segoe UI"/>
                <w:sz w:val="20"/>
              </w:rPr>
              <w:t xml:space="preserve">stos lineamientos </w:t>
            </w:r>
            <w:r>
              <w:rPr>
                <w:rFonts w:ascii="Segoe UI" w:hAnsi="Segoe UI" w:cs="Segoe UI"/>
                <w:sz w:val="20"/>
              </w:rPr>
              <w:t>son</w:t>
            </w:r>
            <w:r w:rsidRPr="002F3C0D">
              <w:rPr>
                <w:rFonts w:ascii="Segoe UI" w:hAnsi="Segoe UI" w:cs="Segoe UI"/>
                <w:sz w:val="20"/>
              </w:rPr>
              <w:t xml:space="preserve"> una guía para que las entidades de la administración pública puedan promover un relacionamiento garante de derechos con las personas con orientaciones sexuales o identidades de género diversas (OSIGD).</w:t>
            </w:r>
            <w:r>
              <w:rPr>
                <w:rFonts w:ascii="Segoe UI" w:hAnsi="Segoe UI" w:cs="Segoe UI"/>
                <w:sz w:val="20"/>
              </w:rPr>
              <w:t xml:space="preserve"> </w:t>
            </w:r>
            <w:r w:rsidR="00F302C6">
              <w:rPr>
                <w:rFonts w:ascii="Segoe UI" w:hAnsi="Segoe UI" w:cs="Segoe UI"/>
                <w:sz w:val="20"/>
              </w:rPr>
              <w:t xml:space="preserve"> </w:t>
            </w:r>
          </w:p>
          <w:p w14:paraId="4FDA59A1" w14:textId="29D74AF9" w:rsidR="00046FFB" w:rsidRPr="00BC778F" w:rsidRDefault="00046FFB" w:rsidP="00BC778F">
            <w:pPr>
              <w:spacing w:line="240" w:lineRule="auto"/>
              <w:ind w:firstLine="0"/>
              <w:rPr>
                <w:rFonts w:ascii="Segoe UI" w:hAnsi="Segoe UI" w:cs="Segoe UI"/>
                <w:sz w:val="20"/>
              </w:rPr>
            </w:pPr>
            <w:r w:rsidRPr="00BC778F">
              <w:rPr>
                <w:rFonts w:ascii="Segoe UI" w:hAnsi="Segoe UI" w:cs="Segoe UI"/>
                <w:sz w:val="20"/>
              </w:rPr>
              <w:t>Ejes en los que se fundamentan los lineamientos para la inclusión:</w:t>
            </w:r>
          </w:p>
          <w:p w14:paraId="06AD5314" w14:textId="77777777" w:rsidR="00046FFB" w:rsidRPr="00BC778F" w:rsidRDefault="00046FFB" w:rsidP="00BC778F">
            <w:pPr>
              <w:spacing w:line="240" w:lineRule="auto"/>
              <w:ind w:firstLine="0"/>
              <w:rPr>
                <w:rFonts w:ascii="Segoe UI" w:hAnsi="Segoe UI" w:cs="Segoe UI"/>
                <w:sz w:val="20"/>
              </w:rPr>
            </w:pPr>
            <w:r w:rsidRPr="00BC778F">
              <w:rPr>
                <w:rFonts w:ascii="Segoe UI" w:hAnsi="Segoe UI" w:cs="Segoe UI"/>
                <w:sz w:val="20"/>
              </w:rPr>
              <w:t>Respeto a la identidad y autorreconocimiento. ▪ Gestión pública libre de prejuicios sobre las personas con OSIGD. ▪ Uso de lenguaje no sexista. ▪ Registros de información diferenciada. ▪ Comunicaciones con enfoque de OSIGD. ▪ Mecanismos de control y denuncia de casos de discriminación. ▪ Crear oficinas de género y diversidad en las entidades del Estado. ▪ Contratistas y operadores privados comprometidos con el respeto a las OSIGD. ▪ Entornos seguros para personas con OSIGD. ▪ Fortalecimiento de la participación de las personas con OSIGD. ▪ Mejora de trámites institucionales a partir de un enfoque de OSIGD</w:t>
            </w:r>
          </w:p>
        </w:tc>
      </w:tr>
      <w:tr w:rsidR="00BD2706" w:rsidRPr="00BC778F" w14:paraId="46FF9FF8" w14:textId="77777777" w:rsidTr="00F302C6">
        <w:trPr>
          <w:trHeight w:val="1825"/>
        </w:trPr>
        <w:tc>
          <w:tcPr>
            <w:tcW w:w="3539" w:type="dxa"/>
          </w:tcPr>
          <w:p w14:paraId="4AE6563F" w14:textId="73325AF2" w:rsidR="00BD2706" w:rsidRPr="00BC778F" w:rsidRDefault="00BD2706" w:rsidP="00BC778F">
            <w:pPr>
              <w:spacing w:line="240" w:lineRule="auto"/>
              <w:ind w:firstLine="0"/>
              <w:rPr>
                <w:rFonts w:ascii="Segoe UI" w:hAnsi="Segoe UI" w:cs="Segoe UI"/>
                <w:sz w:val="20"/>
              </w:rPr>
            </w:pPr>
            <w:r w:rsidRPr="00BD2706">
              <w:rPr>
                <w:rFonts w:ascii="Segoe UI" w:hAnsi="Segoe UI" w:cs="Segoe UI"/>
                <w:sz w:val="20"/>
              </w:rPr>
              <w:t>Transformar las empresas mediante la diversidad y la inclusión</w:t>
            </w:r>
            <w:r>
              <w:rPr>
                <w:rFonts w:ascii="Segoe UI" w:hAnsi="Segoe UI" w:cs="Segoe UI"/>
                <w:sz w:val="20"/>
              </w:rPr>
              <w:t xml:space="preserve">. Organización internacional del trabajo (OIT) </w:t>
            </w:r>
            <w:r>
              <w:t xml:space="preserve"> (</w:t>
            </w:r>
            <w:r w:rsidRPr="00BD2706">
              <w:rPr>
                <w:rFonts w:ascii="Segoe UI" w:hAnsi="Segoe UI" w:cs="Segoe UI"/>
                <w:sz w:val="20"/>
              </w:rPr>
              <w:t>202</w:t>
            </w:r>
            <w:r w:rsidR="00F302C6">
              <w:rPr>
                <w:rFonts w:ascii="Segoe UI" w:hAnsi="Segoe UI" w:cs="Segoe UI"/>
                <w:sz w:val="20"/>
              </w:rPr>
              <w:t>2</w:t>
            </w:r>
            <w:r>
              <w:rPr>
                <w:rFonts w:ascii="Segoe UI" w:hAnsi="Segoe UI" w:cs="Segoe UI"/>
                <w:sz w:val="20"/>
              </w:rPr>
              <w:t>)</w:t>
            </w:r>
          </w:p>
        </w:tc>
        <w:tc>
          <w:tcPr>
            <w:tcW w:w="10599" w:type="dxa"/>
          </w:tcPr>
          <w:p w14:paraId="018784D5" w14:textId="78C4F686" w:rsidR="00BD2706" w:rsidRDefault="00BD2706" w:rsidP="00BC778F">
            <w:pPr>
              <w:spacing w:line="240" w:lineRule="auto"/>
              <w:ind w:firstLine="0"/>
              <w:rPr>
                <w:rFonts w:ascii="Segoe UI" w:hAnsi="Segoe UI" w:cs="Segoe UI"/>
                <w:sz w:val="20"/>
              </w:rPr>
            </w:pPr>
            <w:r>
              <w:rPr>
                <w:rFonts w:ascii="Segoe UI" w:hAnsi="Segoe UI" w:cs="Segoe UI"/>
                <w:sz w:val="20"/>
              </w:rPr>
              <w:t>En este articulo la OIT se analiza la</w:t>
            </w:r>
            <w:r w:rsidRPr="00BD2706">
              <w:rPr>
                <w:rFonts w:ascii="Segoe UI" w:hAnsi="Segoe UI" w:cs="Segoe UI"/>
                <w:sz w:val="20"/>
              </w:rPr>
              <w:t xml:space="preserve"> complejidad de la experiencia de inclusión en el trabajo, señalando que va más allá de simplemente sentirse aceptado. Se resalta la importancia de equilibrar el sentido de pertenencia con la individualidad, ya que ambos aspectos influyen en cómo los empleados experimentan la inclusión. Además, se menciona que la sensación de pertenencia está relacionada con el reconocimiento, la interacción positiva, el apoyo y la alineación con el propósito de la organización. Por otro lado, se señala que, cuando este equilibrio se ve comprometido, los empleados pueden recurrir a estrategias como la asimilación para restaurar su sensación de pertenencia, aunque esto puede tener un costo personal significativo.</w:t>
            </w:r>
          </w:p>
        </w:tc>
      </w:tr>
      <w:tr w:rsidR="009F3CA8" w:rsidRPr="00BC778F" w14:paraId="6DC5F8DC" w14:textId="77777777" w:rsidTr="00F302C6">
        <w:trPr>
          <w:trHeight w:val="1825"/>
        </w:trPr>
        <w:tc>
          <w:tcPr>
            <w:tcW w:w="3539" w:type="dxa"/>
          </w:tcPr>
          <w:p w14:paraId="6512149A" w14:textId="1CC9EA37" w:rsidR="009F3CA8" w:rsidRPr="00BD2706" w:rsidRDefault="009F3CA8" w:rsidP="00BC778F">
            <w:pPr>
              <w:spacing w:line="240" w:lineRule="auto"/>
              <w:ind w:firstLine="0"/>
              <w:rPr>
                <w:rFonts w:ascii="Segoe UI" w:hAnsi="Segoe UI" w:cs="Segoe UI"/>
                <w:sz w:val="20"/>
              </w:rPr>
            </w:pPr>
            <w:r w:rsidRPr="009F3CA8">
              <w:rPr>
                <w:rFonts w:ascii="Segoe UI" w:hAnsi="Segoe UI" w:cs="Segoe UI"/>
                <w:sz w:val="20"/>
              </w:rPr>
              <w:lastRenderedPageBreak/>
              <w:t>La Diversidad e Inclusión en el Trabajo: Claves para el Éxito Empresarial en el Siglo XXI</w:t>
            </w:r>
            <w:r>
              <w:rPr>
                <w:rFonts w:ascii="Segoe UI" w:hAnsi="Segoe UI" w:cs="Segoe UI"/>
                <w:sz w:val="20"/>
              </w:rPr>
              <w:t xml:space="preserve"> (2024)</w:t>
            </w:r>
          </w:p>
        </w:tc>
        <w:tc>
          <w:tcPr>
            <w:tcW w:w="10599" w:type="dxa"/>
          </w:tcPr>
          <w:p w14:paraId="01AD3B3B" w14:textId="3CB09ED3" w:rsidR="009F3CA8" w:rsidRDefault="009F3CA8" w:rsidP="00BC778F">
            <w:pPr>
              <w:spacing w:line="240" w:lineRule="auto"/>
              <w:ind w:firstLine="0"/>
              <w:rPr>
                <w:rFonts w:ascii="Segoe UI" w:hAnsi="Segoe UI" w:cs="Segoe UI"/>
                <w:sz w:val="20"/>
              </w:rPr>
            </w:pPr>
            <w:r w:rsidRPr="009F3CA8">
              <w:rPr>
                <w:rFonts w:ascii="Segoe UI" w:hAnsi="Segoe UI" w:cs="Segoe UI"/>
                <w:sz w:val="20"/>
              </w:rPr>
              <w:t>En un entorno empresarial cada vez más dinámico y competitivo, la promoción de políticas de inclusión se vuelve esencial para fomentar un ambiente laboral positivo y productivo. Además de centrarse en aspectos técnicos y tecnológicos, las empresas deben reconocer la importancia de la diversidad en su talento humano. Para lograr una cultura organizacional verdaderamente inclusiva, es crucial que las empresas no solo adopten la inclusión como un discurso superficial, sino que la integren de manera activa en todas sus operaciones. Esto implica un compromiso continuo con la identificación, reconocimiento, educación y promoción de la diversidad. Los beneficios de esta iniciativa se reflejarán en un ambiente laboral más favorable, un aumento en la productividad y otros aspectos positivos para la empresa.</w:t>
            </w:r>
          </w:p>
        </w:tc>
      </w:tr>
      <w:tr w:rsidR="00046FFB" w:rsidRPr="00BC778F" w14:paraId="69ECF298" w14:textId="77777777" w:rsidTr="00F302C6">
        <w:trPr>
          <w:trHeight w:val="514"/>
        </w:trPr>
        <w:tc>
          <w:tcPr>
            <w:tcW w:w="3539" w:type="dxa"/>
          </w:tcPr>
          <w:p w14:paraId="6502EB5E" w14:textId="77777777" w:rsidR="00672A50" w:rsidRDefault="005C0FB1" w:rsidP="00BC778F">
            <w:pPr>
              <w:spacing w:line="240" w:lineRule="auto"/>
              <w:ind w:firstLine="0"/>
              <w:rPr>
                <w:rFonts w:ascii="Segoe UI" w:hAnsi="Segoe UI" w:cs="Segoe UI"/>
                <w:sz w:val="20"/>
              </w:rPr>
            </w:pPr>
            <w:r w:rsidRPr="005C0FB1">
              <w:rPr>
                <w:rFonts w:ascii="Segoe UI" w:hAnsi="Segoe UI" w:cs="Segoe UI"/>
                <w:sz w:val="20"/>
              </w:rPr>
              <w:t>Lineamientos Política de Educación Superior Inclusiva e Intercultural</w:t>
            </w:r>
            <w:r>
              <w:rPr>
                <w:rFonts w:ascii="Segoe UI" w:hAnsi="Segoe UI" w:cs="Segoe UI"/>
                <w:sz w:val="20"/>
              </w:rPr>
              <w:t xml:space="preserve"> </w:t>
            </w:r>
          </w:p>
          <w:p w14:paraId="5E516A24" w14:textId="2AB0C7C9" w:rsidR="00046FFB" w:rsidRPr="00BC778F" w:rsidRDefault="005C0FB1" w:rsidP="00BC778F">
            <w:pPr>
              <w:spacing w:line="240" w:lineRule="auto"/>
              <w:ind w:firstLine="0"/>
              <w:rPr>
                <w:rFonts w:ascii="Segoe UI" w:hAnsi="Segoe UI" w:cs="Segoe UI"/>
                <w:sz w:val="20"/>
              </w:rPr>
            </w:pPr>
            <w:r>
              <w:rPr>
                <w:rFonts w:ascii="Segoe UI" w:hAnsi="Segoe UI" w:cs="Segoe UI"/>
                <w:sz w:val="20"/>
              </w:rPr>
              <w:t>(</w:t>
            </w:r>
            <w:r w:rsidRPr="005C0FB1">
              <w:rPr>
                <w:rFonts w:ascii="Segoe UI" w:hAnsi="Segoe UI" w:cs="Segoe UI"/>
                <w:sz w:val="20"/>
              </w:rPr>
              <w:t>2013</w:t>
            </w:r>
            <w:r>
              <w:rPr>
                <w:rFonts w:ascii="Segoe UI" w:hAnsi="Segoe UI" w:cs="Segoe UI"/>
                <w:sz w:val="20"/>
              </w:rPr>
              <w:t>)</w:t>
            </w:r>
          </w:p>
        </w:tc>
        <w:tc>
          <w:tcPr>
            <w:tcW w:w="10599" w:type="dxa"/>
          </w:tcPr>
          <w:p w14:paraId="7461E076" w14:textId="411BFC91" w:rsidR="00046FFB" w:rsidRPr="00BC778F" w:rsidRDefault="009F3CA8" w:rsidP="00BC778F">
            <w:pPr>
              <w:spacing w:line="240" w:lineRule="auto"/>
              <w:ind w:firstLine="0"/>
              <w:rPr>
                <w:rFonts w:ascii="Segoe UI" w:hAnsi="Segoe UI" w:cs="Segoe UI"/>
                <w:sz w:val="20"/>
              </w:rPr>
            </w:pPr>
            <w:r>
              <w:rPr>
                <w:rFonts w:ascii="Segoe UI" w:hAnsi="Segoe UI" w:cs="Segoe UI"/>
                <w:sz w:val="20"/>
              </w:rPr>
              <w:t>El Ministerio de E</w:t>
            </w:r>
            <w:r w:rsidR="00046FFB" w:rsidRPr="00BC778F">
              <w:rPr>
                <w:rFonts w:ascii="Segoe UI" w:hAnsi="Segoe UI" w:cs="Segoe UI"/>
                <w:sz w:val="20"/>
              </w:rPr>
              <w:t xml:space="preserve">ducación </w:t>
            </w:r>
            <w:r w:rsidR="00672A50" w:rsidRPr="00672A50">
              <w:rPr>
                <w:rFonts w:ascii="Segoe UI" w:hAnsi="Segoe UI" w:cs="Segoe UI"/>
                <w:sz w:val="20"/>
              </w:rPr>
              <w:t>ofrece una visión integral de la educación inclusiva en el contexto de la educación superior, abordando aspectos conceptuales, éticos, culturales y prácticos relacionados con la implementación de políticas inclusivas en el sistema educativo colombiano.</w:t>
            </w:r>
          </w:p>
        </w:tc>
      </w:tr>
      <w:tr w:rsidR="005C0FB1" w:rsidRPr="00BC778F" w14:paraId="6D2C3C4D" w14:textId="77777777" w:rsidTr="00F302C6">
        <w:trPr>
          <w:trHeight w:val="514"/>
        </w:trPr>
        <w:tc>
          <w:tcPr>
            <w:tcW w:w="3539" w:type="dxa"/>
          </w:tcPr>
          <w:p w14:paraId="49BAE074" w14:textId="5EF06D23" w:rsidR="005C0FB1" w:rsidRPr="00BC778F" w:rsidRDefault="005C0FB1" w:rsidP="00BC778F">
            <w:pPr>
              <w:spacing w:line="240" w:lineRule="auto"/>
              <w:ind w:firstLine="0"/>
              <w:rPr>
                <w:rFonts w:ascii="Segoe UI" w:hAnsi="Segoe UI" w:cs="Segoe UI"/>
                <w:sz w:val="20"/>
              </w:rPr>
            </w:pPr>
            <w:r w:rsidRPr="005C0FB1">
              <w:rPr>
                <w:rFonts w:ascii="Segoe UI" w:hAnsi="Segoe UI" w:cs="Segoe UI"/>
                <w:sz w:val="20"/>
              </w:rPr>
              <w:t>Enfoque e identidades de género para los lineamientos política de educación superior inclusiva</w:t>
            </w:r>
            <w:r w:rsidR="00672A50">
              <w:rPr>
                <w:rFonts w:ascii="Segoe UI" w:hAnsi="Segoe UI" w:cs="Segoe UI"/>
                <w:sz w:val="20"/>
              </w:rPr>
              <w:t xml:space="preserve"> (2018)</w:t>
            </w:r>
          </w:p>
        </w:tc>
        <w:tc>
          <w:tcPr>
            <w:tcW w:w="10599" w:type="dxa"/>
          </w:tcPr>
          <w:p w14:paraId="21419CE2" w14:textId="62B364DC" w:rsidR="005C0FB1" w:rsidRPr="00BC778F" w:rsidRDefault="00672A50" w:rsidP="00BC778F">
            <w:pPr>
              <w:spacing w:line="240" w:lineRule="auto"/>
              <w:ind w:firstLine="0"/>
              <w:rPr>
                <w:rFonts w:ascii="Segoe UI" w:hAnsi="Segoe UI" w:cs="Segoe UI"/>
                <w:sz w:val="20"/>
              </w:rPr>
            </w:pPr>
            <w:r w:rsidRPr="00672A50">
              <w:rPr>
                <w:rFonts w:ascii="Segoe UI" w:hAnsi="Segoe UI" w:cs="Segoe UI"/>
                <w:sz w:val="20"/>
              </w:rPr>
              <w:t>Este documento ofrece una perspectiva crucial sobre la importancia de abordar las identidades de género en el ámbito de la educación superior. Destaca la necesidad imperativa de incorporar un enfoque inclusivo en los lineamientos de política para garantizar la igualdad y la diversidad en el entorno educativo. Propone acciones concretas para promover la inclusión de las identidades de género, brindando un camino claro hacia la implementación efectiva en programas y políticas institucionales. ¡Esperamos que esta lectura sea informativa y enriquecedora para todos aquellos interesados en avanzar hacia una educación superior más inclusiva y equitativa!</w:t>
            </w:r>
          </w:p>
        </w:tc>
      </w:tr>
      <w:tr w:rsidR="00672A50" w:rsidRPr="00BC778F" w14:paraId="01139BEB" w14:textId="77777777" w:rsidTr="00F302C6">
        <w:trPr>
          <w:trHeight w:val="514"/>
        </w:trPr>
        <w:tc>
          <w:tcPr>
            <w:tcW w:w="3539" w:type="dxa"/>
          </w:tcPr>
          <w:p w14:paraId="55124AA3" w14:textId="03D13BA2" w:rsidR="00672A50" w:rsidRPr="00BC778F" w:rsidRDefault="00672A50" w:rsidP="00672A50">
            <w:pPr>
              <w:spacing w:line="240" w:lineRule="auto"/>
              <w:ind w:firstLine="0"/>
              <w:rPr>
                <w:rFonts w:ascii="Segoe UI" w:hAnsi="Segoe UI" w:cs="Segoe UI"/>
                <w:sz w:val="20"/>
              </w:rPr>
            </w:pPr>
            <w:r w:rsidRPr="00BC778F">
              <w:rPr>
                <w:rFonts w:ascii="Segoe UI" w:hAnsi="Segoe UI" w:cs="Segoe UI"/>
                <w:sz w:val="20"/>
              </w:rPr>
              <w:t>Análisis cuantitativo de la percepción sobre la discriminación en la población con orientación sexual e identidad de género diversas y la población de negritudes en los estudiantes universitarios</w:t>
            </w:r>
          </w:p>
        </w:tc>
        <w:tc>
          <w:tcPr>
            <w:tcW w:w="10599" w:type="dxa"/>
          </w:tcPr>
          <w:p w14:paraId="39C62203" w14:textId="0CE9746C" w:rsidR="00672A50" w:rsidRPr="00BC778F" w:rsidRDefault="00672A50" w:rsidP="00672A50">
            <w:pPr>
              <w:spacing w:line="240" w:lineRule="auto"/>
              <w:ind w:firstLine="0"/>
              <w:rPr>
                <w:rFonts w:ascii="Segoe UI" w:hAnsi="Segoe UI" w:cs="Segoe UI"/>
                <w:sz w:val="20"/>
              </w:rPr>
            </w:pPr>
            <w:r w:rsidRPr="00BC778F">
              <w:rPr>
                <w:rFonts w:ascii="Segoe UI" w:hAnsi="Segoe UI" w:cs="Segoe UI"/>
                <w:sz w:val="20"/>
              </w:rPr>
              <w:t>Un mayor porcentaje de los estudiantes encuestados eligieron que no se puede obligar o convencer a una persona para que dejen la comunidad LGTBI; por lo tanto, aceptan la posición de los estudiantes que pertenecen a esta comunidad. De tal manera, Un 64% en los encuestados han visto rechazo o discriminación en la identidad de género diversas por parte de sus compañeros universitarios. Por último, un 73% en los encuestados, las personas de color o la población de negritudes, si son discriminadas.</w:t>
            </w:r>
          </w:p>
        </w:tc>
      </w:tr>
      <w:tr w:rsidR="00E11698" w:rsidRPr="00BC778F" w14:paraId="6BB74DCE" w14:textId="77777777" w:rsidTr="00F302C6">
        <w:trPr>
          <w:trHeight w:val="514"/>
        </w:trPr>
        <w:tc>
          <w:tcPr>
            <w:tcW w:w="3539" w:type="dxa"/>
          </w:tcPr>
          <w:p w14:paraId="41A579F9" w14:textId="3C7B0DE2" w:rsidR="00E11698" w:rsidRPr="00BC778F" w:rsidRDefault="00E11698" w:rsidP="00E11698">
            <w:pPr>
              <w:spacing w:line="240" w:lineRule="auto"/>
              <w:ind w:firstLine="0"/>
              <w:rPr>
                <w:rFonts w:ascii="Segoe UI" w:hAnsi="Segoe UI" w:cs="Segoe UI"/>
                <w:sz w:val="20"/>
              </w:rPr>
            </w:pPr>
            <w:r w:rsidRPr="00952837">
              <w:rPr>
                <w:rFonts w:ascii="Segoe UI" w:hAnsi="Segoe UI" w:cs="Segoe UI"/>
                <w:sz w:val="20"/>
              </w:rPr>
              <w:t>Inclusión LGBTI+ en empresas de Nuevo León, México: impacto en la motivación de los empleados</w:t>
            </w:r>
          </w:p>
        </w:tc>
        <w:tc>
          <w:tcPr>
            <w:tcW w:w="10599" w:type="dxa"/>
          </w:tcPr>
          <w:p w14:paraId="0445255F" w14:textId="57D06374" w:rsidR="00E11698" w:rsidRPr="00BC778F" w:rsidRDefault="00E11698" w:rsidP="00E11698">
            <w:pPr>
              <w:spacing w:line="240" w:lineRule="auto"/>
              <w:ind w:firstLine="0"/>
              <w:rPr>
                <w:rFonts w:ascii="Segoe UI" w:hAnsi="Segoe UI" w:cs="Segoe UI"/>
                <w:sz w:val="20"/>
              </w:rPr>
            </w:pPr>
            <w:r>
              <w:rPr>
                <w:rFonts w:ascii="Segoe UI" w:hAnsi="Segoe UI" w:cs="Segoe UI"/>
                <w:sz w:val="20"/>
              </w:rPr>
              <w:t xml:space="preserve">Este fue un estudio realizado con varias empresas en México y se evidencia como hallazgo importante que,  a </w:t>
            </w:r>
            <w:r w:rsidRPr="00E36ED1">
              <w:rPr>
                <w:rFonts w:ascii="Segoe UI" w:hAnsi="Segoe UI" w:cs="Segoe UI"/>
                <w:sz w:val="20"/>
              </w:rPr>
              <w:t>pesar de que la mayoría de las empresas establecen una política de no discriminación, su principal enfoque podría dirigirse hacia la contratación efectiva de personas pertenecientes a minorías y la difusión extensiva de políticas y programas de inclusión tanto dentro como fuera de la organización. Esta estrategia se justifica por el impacto positivo que estas medidas generan en el reconocimiento de los empleados, lo cual influye directamente en su retención y desarrollo dentro de la empresa.</w:t>
            </w:r>
          </w:p>
        </w:tc>
      </w:tr>
      <w:tr w:rsidR="00F302C6" w:rsidRPr="00BC778F" w14:paraId="2F41DE00" w14:textId="77777777" w:rsidTr="00F302C6">
        <w:trPr>
          <w:trHeight w:val="514"/>
        </w:trPr>
        <w:tc>
          <w:tcPr>
            <w:tcW w:w="3539" w:type="dxa"/>
          </w:tcPr>
          <w:p w14:paraId="5F34FA57" w14:textId="6747EDC2" w:rsidR="00F302C6" w:rsidRPr="00952837" w:rsidRDefault="00F302C6" w:rsidP="00F302C6">
            <w:pPr>
              <w:spacing w:line="240" w:lineRule="auto"/>
              <w:ind w:firstLine="0"/>
              <w:rPr>
                <w:rFonts w:ascii="Segoe UI" w:hAnsi="Segoe UI" w:cs="Segoe UI"/>
                <w:sz w:val="20"/>
              </w:rPr>
            </w:pPr>
            <w:r w:rsidRPr="00BC778F">
              <w:rPr>
                <w:rFonts w:ascii="Segoe UI" w:hAnsi="Segoe UI" w:cs="Segoe UI"/>
                <w:sz w:val="20"/>
              </w:rPr>
              <w:t>Deporte, inclusión y diversidad LGTBI (Reseña bibliográfica)</w:t>
            </w:r>
          </w:p>
        </w:tc>
        <w:tc>
          <w:tcPr>
            <w:tcW w:w="10599" w:type="dxa"/>
          </w:tcPr>
          <w:p w14:paraId="0E74BB4B" w14:textId="4D79155A" w:rsidR="00F302C6" w:rsidRDefault="00F302C6" w:rsidP="00F302C6">
            <w:pPr>
              <w:spacing w:line="240" w:lineRule="auto"/>
              <w:ind w:firstLine="0"/>
              <w:rPr>
                <w:rFonts w:ascii="Segoe UI" w:hAnsi="Segoe UI" w:cs="Segoe UI"/>
                <w:sz w:val="20"/>
              </w:rPr>
            </w:pPr>
            <w:r w:rsidRPr="00BC778F">
              <w:rPr>
                <w:rFonts w:ascii="Segoe UI" w:hAnsi="Segoe UI" w:cs="Segoe UI"/>
                <w:sz w:val="20"/>
              </w:rPr>
              <w:t>La guía, publicada en 2023 por la Conselleria de Educación, Cultura y Deporte de la Generalitat Valenciana, supone un paso más en el camino hacia un deporte más abierto y respetuoso con la diversidad. Esta guía ofrece una amplia gama de datos, ideas, propuestas, ejemplos y herramientas para que los equipos técnicos y las organizaciones deportivas puedan apostar con más facilidad por un cambio en sus políticas y en sus actitudes. Esta guía complementa a otras (la mayoría internacionales) que están disponibles para quienes estén interesados en incluir la diversidad en el deporte.</w:t>
            </w:r>
          </w:p>
        </w:tc>
      </w:tr>
    </w:tbl>
    <w:p w14:paraId="0952057C" w14:textId="77777777" w:rsidR="00336671" w:rsidRDefault="00336671" w:rsidP="00BC778F">
      <w:pPr>
        <w:ind w:firstLine="0"/>
        <w:rPr>
          <w:szCs w:val="24"/>
        </w:rPr>
      </w:pPr>
    </w:p>
    <w:p w14:paraId="78E32CF7" w14:textId="77777777" w:rsidR="00F302C6" w:rsidRPr="00046FFB" w:rsidRDefault="00F302C6" w:rsidP="00BC778F">
      <w:pPr>
        <w:ind w:firstLine="0"/>
        <w:rPr>
          <w:szCs w:val="24"/>
        </w:rPr>
      </w:pPr>
    </w:p>
    <w:sectPr w:rsidR="00F302C6" w:rsidRPr="00046FFB" w:rsidSect="005C731D">
      <w:pgSz w:w="15840" w:h="12240" w:orient="landscape"/>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FB"/>
    <w:rsid w:val="0003031C"/>
    <w:rsid w:val="00046FFB"/>
    <w:rsid w:val="000A201B"/>
    <w:rsid w:val="00204D02"/>
    <w:rsid w:val="002F3C0D"/>
    <w:rsid w:val="00336671"/>
    <w:rsid w:val="005C0FB1"/>
    <w:rsid w:val="005C731D"/>
    <w:rsid w:val="00672A50"/>
    <w:rsid w:val="00725CAE"/>
    <w:rsid w:val="009F3CA8"/>
    <w:rsid w:val="00B01C27"/>
    <w:rsid w:val="00BC778F"/>
    <w:rsid w:val="00BD2706"/>
    <w:rsid w:val="00C92D52"/>
    <w:rsid w:val="00DB31FE"/>
    <w:rsid w:val="00E11698"/>
    <w:rsid w:val="00E507E5"/>
    <w:rsid w:val="00F302C6"/>
    <w:rsid w:val="00F72BD7"/>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1C2B3"/>
  <w15:chartTrackingRefBased/>
  <w15:docId w15:val="{2302F2E3-4367-417B-B208-114409CAB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FB"/>
    <w:pPr>
      <w:spacing w:after="0" w:line="480" w:lineRule="auto"/>
      <w:ind w:firstLine="720"/>
      <w:jc w:val="both"/>
    </w:pPr>
    <w:rPr>
      <w:rFonts w:ascii="Times New Roman" w:eastAsia="Calibri" w:hAnsi="Times New Roman" w:cs="Times New Roman"/>
      <w:kern w:val="0"/>
      <w:sz w:val="24"/>
      <w:lang w:val="es-CO"/>
      <w14:ligatures w14:val="none"/>
    </w:rPr>
  </w:style>
  <w:style w:type="paragraph" w:styleId="Ttulo1">
    <w:name w:val="heading 1"/>
    <w:basedOn w:val="Normal"/>
    <w:next w:val="Normal"/>
    <w:link w:val="Ttulo1Car"/>
    <w:uiPriority w:val="9"/>
    <w:qFormat/>
    <w:rsid w:val="00046FFB"/>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val="es-MX"/>
      <w14:ligatures w14:val="standardContextual"/>
    </w:rPr>
  </w:style>
  <w:style w:type="paragraph" w:styleId="Ttulo2">
    <w:name w:val="heading 2"/>
    <w:basedOn w:val="Normal"/>
    <w:next w:val="Normal"/>
    <w:link w:val="Ttulo2Car"/>
    <w:uiPriority w:val="9"/>
    <w:unhideWhenUsed/>
    <w:qFormat/>
    <w:rsid w:val="00046FFB"/>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val="es-MX"/>
      <w14:ligatures w14:val="standardContextual"/>
    </w:rPr>
  </w:style>
  <w:style w:type="paragraph" w:styleId="Ttulo3">
    <w:name w:val="heading 3"/>
    <w:basedOn w:val="Normal"/>
    <w:next w:val="Normal"/>
    <w:link w:val="Ttulo3Car"/>
    <w:uiPriority w:val="9"/>
    <w:semiHidden/>
    <w:unhideWhenUsed/>
    <w:qFormat/>
    <w:rsid w:val="00046FFB"/>
    <w:pPr>
      <w:keepNext/>
      <w:keepLines/>
      <w:spacing w:before="160" w:after="80" w:line="259" w:lineRule="auto"/>
      <w:ind w:firstLine="0"/>
      <w:jc w:val="left"/>
      <w:outlineLvl w:val="2"/>
    </w:pPr>
    <w:rPr>
      <w:rFonts w:asciiTheme="minorHAnsi" w:eastAsiaTheme="majorEastAsia" w:hAnsiTheme="minorHAnsi" w:cstheme="majorBidi"/>
      <w:color w:val="0F4761" w:themeColor="accent1" w:themeShade="BF"/>
      <w:kern w:val="2"/>
      <w:sz w:val="28"/>
      <w:szCs w:val="28"/>
      <w:lang w:val="es-MX"/>
      <w14:ligatures w14:val="standardContextual"/>
    </w:rPr>
  </w:style>
  <w:style w:type="paragraph" w:styleId="Ttulo4">
    <w:name w:val="heading 4"/>
    <w:basedOn w:val="Normal"/>
    <w:next w:val="Normal"/>
    <w:link w:val="Ttulo4Car"/>
    <w:uiPriority w:val="9"/>
    <w:semiHidden/>
    <w:unhideWhenUsed/>
    <w:qFormat/>
    <w:rsid w:val="00046FFB"/>
    <w:pPr>
      <w:keepNext/>
      <w:keepLines/>
      <w:spacing w:before="80" w:after="40" w:line="259" w:lineRule="auto"/>
      <w:ind w:firstLine="0"/>
      <w:jc w:val="left"/>
      <w:outlineLvl w:val="3"/>
    </w:pPr>
    <w:rPr>
      <w:rFonts w:asciiTheme="minorHAnsi" w:eastAsiaTheme="majorEastAsia" w:hAnsiTheme="minorHAnsi" w:cstheme="majorBidi"/>
      <w:i/>
      <w:iCs/>
      <w:color w:val="0F4761" w:themeColor="accent1" w:themeShade="BF"/>
      <w:kern w:val="2"/>
      <w:sz w:val="22"/>
      <w:lang w:val="es-MX"/>
      <w14:ligatures w14:val="standardContextual"/>
    </w:rPr>
  </w:style>
  <w:style w:type="paragraph" w:styleId="Ttulo5">
    <w:name w:val="heading 5"/>
    <w:basedOn w:val="Normal"/>
    <w:next w:val="Normal"/>
    <w:link w:val="Ttulo5Car"/>
    <w:uiPriority w:val="9"/>
    <w:semiHidden/>
    <w:unhideWhenUsed/>
    <w:qFormat/>
    <w:rsid w:val="00046FFB"/>
    <w:pPr>
      <w:keepNext/>
      <w:keepLines/>
      <w:spacing w:before="80" w:after="40" w:line="259" w:lineRule="auto"/>
      <w:ind w:firstLine="0"/>
      <w:jc w:val="left"/>
      <w:outlineLvl w:val="4"/>
    </w:pPr>
    <w:rPr>
      <w:rFonts w:asciiTheme="minorHAnsi" w:eastAsiaTheme="majorEastAsia" w:hAnsiTheme="minorHAnsi" w:cstheme="majorBidi"/>
      <w:color w:val="0F4761" w:themeColor="accent1" w:themeShade="BF"/>
      <w:kern w:val="2"/>
      <w:sz w:val="22"/>
      <w:lang w:val="es-MX"/>
      <w14:ligatures w14:val="standardContextual"/>
    </w:rPr>
  </w:style>
  <w:style w:type="paragraph" w:styleId="Ttulo6">
    <w:name w:val="heading 6"/>
    <w:basedOn w:val="Normal"/>
    <w:next w:val="Normal"/>
    <w:link w:val="Ttulo6Car"/>
    <w:uiPriority w:val="9"/>
    <w:semiHidden/>
    <w:unhideWhenUsed/>
    <w:qFormat/>
    <w:rsid w:val="00046FFB"/>
    <w:pPr>
      <w:keepNext/>
      <w:keepLines/>
      <w:spacing w:before="40" w:line="259" w:lineRule="auto"/>
      <w:ind w:firstLine="0"/>
      <w:jc w:val="left"/>
      <w:outlineLvl w:val="5"/>
    </w:pPr>
    <w:rPr>
      <w:rFonts w:asciiTheme="minorHAnsi" w:eastAsiaTheme="majorEastAsia" w:hAnsiTheme="minorHAnsi" w:cstheme="majorBidi"/>
      <w:i/>
      <w:iCs/>
      <w:color w:val="595959" w:themeColor="text1" w:themeTint="A6"/>
      <w:kern w:val="2"/>
      <w:sz w:val="22"/>
      <w:lang w:val="es-MX"/>
      <w14:ligatures w14:val="standardContextual"/>
    </w:rPr>
  </w:style>
  <w:style w:type="paragraph" w:styleId="Ttulo7">
    <w:name w:val="heading 7"/>
    <w:basedOn w:val="Normal"/>
    <w:next w:val="Normal"/>
    <w:link w:val="Ttulo7Car"/>
    <w:uiPriority w:val="9"/>
    <w:semiHidden/>
    <w:unhideWhenUsed/>
    <w:qFormat/>
    <w:rsid w:val="00046FFB"/>
    <w:pPr>
      <w:keepNext/>
      <w:keepLines/>
      <w:spacing w:before="40" w:line="259" w:lineRule="auto"/>
      <w:ind w:firstLine="0"/>
      <w:jc w:val="left"/>
      <w:outlineLvl w:val="6"/>
    </w:pPr>
    <w:rPr>
      <w:rFonts w:asciiTheme="minorHAnsi" w:eastAsiaTheme="majorEastAsia" w:hAnsiTheme="minorHAnsi" w:cstheme="majorBidi"/>
      <w:color w:val="595959" w:themeColor="text1" w:themeTint="A6"/>
      <w:kern w:val="2"/>
      <w:sz w:val="22"/>
      <w:lang w:val="es-MX"/>
      <w14:ligatures w14:val="standardContextual"/>
    </w:rPr>
  </w:style>
  <w:style w:type="paragraph" w:styleId="Ttulo8">
    <w:name w:val="heading 8"/>
    <w:basedOn w:val="Normal"/>
    <w:next w:val="Normal"/>
    <w:link w:val="Ttulo8Car"/>
    <w:uiPriority w:val="9"/>
    <w:semiHidden/>
    <w:unhideWhenUsed/>
    <w:qFormat/>
    <w:rsid w:val="00046FFB"/>
    <w:pPr>
      <w:keepNext/>
      <w:keepLines/>
      <w:spacing w:line="259" w:lineRule="auto"/>
      <w:ind w:firstLine="0"/>
      <w:jc w:val="left"/>
      <w:outlineLvl w:val="7"/>
    </w:pPr>
    <w:rPr>
      <w:rFonts w:asciiTheme="minorHAnsi" w:eastAsiaTheme="majorEastAsia" w:hAnsiTheme="minorHAnsi" w:cstheme="majorBidi"/>
      <w:i/>
      <w:iCs/>
      <w:color w:val="272727" w:themeColor="text1" w:themeTint="D8"/>
      <w:kern w:val="2"/>
      <w:sz w:val="22"/>
      <w:lang w:val="es-MX"/>
      <w14:ligatures w14:val="standardContextual"/>
    </w:rPr>
  </w:style>
  <w:style w:type="paragraph" w:styleId="Ttulo9">
    <w:name w:val="heading 9"/>
    <w:basedOn w:val="Normal"/>
    <w:next w:val="Normal"/>
    <w:link w:val="Ttulo9Car"/>
    <w:uiPriority w:val="9"/>
    <w:semiHidden/>
    <w:unhideWhenUsed/>
    <w:qFormat/>
    <w:rsid w:val="00046FFB"/>
    <w:pPr>
      <w:keepNext/>
      <w:keepLines/>
      <w:spacing w:line="259" w:lineRule="auto"/>
      <w:ind w:firstLine="0"/>
      <w:jc w:val="left"/>
      <w:outlineLvl w:val="8"/>
    </w:pPr>
    <w:rPr>
      <w:rFonts w:asciiTheme="minorHAnsi" w:eastAsiaTheme="majorEastAsia" w:hAnsiTheme="minorHAnsi" w:cstheme="majorBidi"/>
      <w:color w:val="272727" w:themeColor="text1" w:themeTint="D8"/>
      <w:kern w:val="2"/>
      <w:sz w:val="22"/>
      <w:lang w:val="es-MX"/>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46FF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046FF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46FF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46FF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46FF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46FF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46FF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46FF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46FFB"/>
    <w:rPr>
      <w:rFonts w:eastAsiaTheme="majorEastAsia" w:cstheme="majorBidi"/>
      <w:color w:val="272727" w:themeColor="text1" w:themeTint="D8"/>
    </w:rPr>
  </w:style>
  <w:style w:type="paragraph" w:styleId="Ttulo">
    <w:name w:val="Title"/>
    <w:basedOn w:val="Normal"/>
    <w:next w:val="Normal"/>
    <w:link w:val="TtuloCar"/>
    <w:uiPriority w:val="10"/>
    <w:qFormat/>
    <w:rsid w:val="00046FFB"/>
    <w:pPr>
      <w:spacing w:after="80" w:line="240" w:lineRule="auto"/>
      <w:ind w:firstLine="0"/>
      <w:contextualSpacing/>
      <w:jc w:val="left"/>
    </w:pPr>
    <w:rPr>
      <w:rFonts w:asciiTheme="majorHAnsi" w:eastAsiaTheme="majorEastAsia" w:hAnsiTheme="majorHAnsi" w:cstheme="majorBidi"/>
      <w:spacing w:val="-10"/>
      <w:kern w:val="28"/>
      <w:sz w:val="56"/>
      <w:szCs w:val="56"/>
      <w:lang w:val="es-MX"/>
      <w14:ligatures w14:val="standardContextual"/>
    </w:rPr>
  </w:style>
  <w:style w:type="character" w:customStyle="1" w:styleId="TtuloCar">
    <w:name w:val="Título Car"/>
    <w:basedOn w:val="Fuentedeprrafopredeter"/>
    <w:link w:val="Ttulo"/>
    <w:uiPriority w:val="10"/>
    <w:rsid w:val="00046FF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46FFB"/>
    <w:pPr>
      <w:numPr>
        <w:ilvl w:val="1"/>
      </w:numPr>
      <w:spacing w:after="160" w:line="259" w:lineRule="auto"/>
      <w:ind w:firstLine="720"/>
      <w:jc w:val="left"/>
    </w:pPr>
    <w:rPr>
      <w:rFonts w:asciiTheme="minorHAnsi" w:eastAsiaTheme="majorEastAsia" w:hAnsiTheme="minorHAnsi" w:cstheme="majorBidi"/>
      <w:color w:val="595959" w:themeColor="text1" w:themeTint="A6"/>
      <w:spacing w:val="15"/>
      <w:kern w:val="2"/>
      <w:sz w:val="28"/>
      <w:szCs w:val="28"/>
      <w:lang w:val="es-MX"/>
      <w14:ligatures w14:val="standardContextual"/>
    </w:rPr>
  </w:style>
  <w:style w:type="character" w:customStyle="1" w:styleId="SubttuloCar">
    <w:name w:val="Subtítulo Car"/>
    <w:basedOn w:val="Fuentedeprrafopredeter"/>
    <w:link w:val="Subttulo"/>
    <w:uiPriority w:val="11"/>
    <w:rsid w:val="00046FF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46FFB"/>
    <w:pPr>
      <w:spacing w:before="160" w:after="160" w:line="259" w:lineRule="auto"/>
      <w:ind w:firstLine="0"/>
      <w:jc w:val="center"/>
    </w:pPr>
    <w:rPr>
      <w:rFonts w:asciiTheme="minorHAnsi" w:eastAsiaTheme="minorHAnsi" w:hAnsiTheme="minorHAnsi" w:cstheme="minorBidi"/>
      <w:i/>
      <w:iCs/>
      <w:color w:val="404040" w:themeColor="text1" w:themeTint="BF"/>
      <w:kern w:val="2"/>
      <w:sz w:val="22"/>
      <w:lang w:val="es-MX"/>
      <w14:ligatures w14:val="standardContextual"/>
    </w:rPr>
  </w:style>
  <w:style w:type="character" w:customStyle="1" w:styleId="CitaCar">
    <w:name w:val="Cita Car"/>
    <w:basedOn w:val="Fuentedeprrafopredeter"/>
    <w:link w:val="Cita"/>
    <w:uiPriority w:val="29"/>
    <w:rsid w:val="00046FFB"/>
    <w:rPr>
      <w:i/>
      <w:iCs/>
      <w:color w:val="404040" w:themeColor="text1" w:themeTint="BF"/>
    </w:rPr>
  </w:style>
  <w:style w:type="paragraph" w:styleId="Prrafodelista">
    <w:name w:val="List Paragraph"/>
    <w:basedOn w:val="Normal"/>
    <w:uiPriority w:val="34"/>
    <w:qFormat/>
    <w:rsid w:val="00046FFB"/>
    <w:pPr>
      <w:spacing w:after="160" w:line="259" w:lineRule="auto"/>
      <w:ind w:left="720" w:firstLine="0"/>
      <w:contextualSpacing/>
      <w:jc w:val="left"/>
    </w:pPr>
    <w:rPr>
      <w:rFonts w:asciiTheme="minorHAnsi" w:eastAsiaTheme="minorHAnsi" w:hAnsiTheme="minorHAnsi" w:cstheme="minorBidi"/>
      <w:kern w:val="2"/>
      <w:sz w:val="22"/>
      <w:lang w:val="es-MX"/>
      <w14:ligatures w14:val="standardContextual"/>
    </w:rPr>
  </w:style>
  <w:style w:type="character" w:styleId="nfasisintenso">
    <w:name w:val="Intense Emphasis"/>
    <w:basedOn w:val="Fuentedeprrafopredeter"/>
    <w:uiPriority w:val="21"/>
    <w:qFormat/>
    <w:rsid w:val="00046FFB"/>
    <w:rPr>
      <w:i/>
      <w:iCs/>
      <w:color w:val="0F4761" w:themeColor="accent1" w:themeShade="BF"/>
    </w:rPr>
  </w:style>
  <w:style w:type="paragraph" w:styleId="Citadestacada">
    <w:name w:val="Intense Quote"/>
    <w:basedOn w:val="Normal"/>
    <w:next w:val="Normal"/>
    <w:link w:val="CitadestacadaCar"/>
    <w:uiPriority w:val="30"/>
    <w:qFormat/>
    <w:rsid w:val="00046FFB"/>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Theme="minorHAnsi" w:eastAsiaTheme="minorHAnsi" w:hAnsiTheme="minorHAnsi" w:cstheme="minorBidi"/>
      <w:i/>
      <w:iCs/>
      <w:color w:val="0F4761" w:themeColor="accent1" w:themeShade="BF"/>
      <w:kern w:val="2"/>
      <w:sz w:val="22"/>
      <w:lang w:val="es-MX"/>
      <w14:ligatures w14:val="standardContextual"/>
    </w:rPr>
  </w:style>
  <w:style w:type="character" w:customStyle="1" w:styleId="CitadestacadaCar">
    <w:name w:val="Cita destacada Car"/>
    <w:basedOn w:val="Fuentedeprrafopredeter"/>
    <w:link w:val="Citadestacada"/>
    <w:uiPriority w:val="30"/>
    <w:rsid w:val="00046FFB"/>
    <w:rPr>
      <w:i/>
      <w:iCs/>
      <w:color w:val="0F4761" w:themeColor="accent1" w:themeShade="BF"/>
    </w:rPr>
  </w:style>
  <w:style w:type="character" w:styleId="Referenciaintensa">
    <w:name w:val="Intense Reference"/>
    <w:basedOn w:val="Fuentedeprrafopredeter"/>
    <w:uiPriority w:val="32"/>
    <w:qFormat/>
    <w:rsid w:val="00046FFB"/>
    <w:rPr>
      <w:b/>
      <w:bCs/>
      <w:smallCaps/>
      <w:color w:val="0F4761" w:themeColor="accent1" w:themeShade="BF"/>
      <w:spacing w:val="5"/>
    </w:rPr>
  </w:style>
  <w:style w:type="table" w:styleId="Tablaconcuadrcula">
    <w:name w:val="Table Grid"/>
    <w:basedOn w:val="Tablanormal"/>
    <w:uiPriority w:val="39"/>
    <w:rsid w:val="00046FFB"/>
    <w:pPr>
      <w:spacing w:after="0" w:line="240" w:lineRule="auto"/>
    </w:pPr>
    <w:rPr>
      <w:rFonts w:ascii="Times New Roman" w:eastAsia="Calibri" w:hAnsi="Times New Roman" w:cs="Times New Roman"/>
      <w:kern w:val="0"/>
      <w:sz w:val="20"/>
      <w:szCs w:val="20"/>
      <w:lang w:val="es-CO"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BC778F"/>
    <w:pPr>
      <w:spacing w:after="0" w:line="240" w:lineRule="auto"/>
      <w:ind w:firstLine="720"/>
      <w:jc w:val="both"/>
    </w:pPr>
    <w:rPr>
      <w:rFonts w:ascii="Times New Roman" w:eastAsia="Calibri" w:hAnsi="Times New Roman" w:cs="Times New Roman"/>
      <w:kern w:val="0"/>
      <w:sz w:val="24"/>
      <w:lang w:val="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1097</Words>
  <Characters>6034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Genny Paola Martínez Archila (ACI PROYECTOS)</dc:creator>
  <cp:keywords/>
  <dc:description/>
  <cp:lastModifiedBy>ROBINSON HOSNAYDER DUARTE LOPEZ</cp:lastModifiedBy>
  <cp:revision>2</cp:revision>
  <cp:lastPrinted>2024-04-17T19:59:00Z</cp:lastPrinted>
  <dcterms:created xsi:type="dcterms:W3CDTF">2024-04-23T01:40:00Z</dcterms:created>
  <dcterms:modified xsi:type="dcterms:W3CDTF">2024-04-23T01:40:00Z</dcterms:modified>
</cp:coreProperties>
</file>